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151CFC" w14:textId="2E9930C1" w:rsidR="00C6088F" w:rsidRPr="00C6088F" w:rsidRDefault="000970EF" w:rsidP="00DF6325">
      <w:pPr>
        <w:pStyle w:val="Heading1"/>
        <w:spacing w:before="0"/>
      </w:pPr>
      <w:r>
        <w:t xml:space="preserve">Automatic Withdrawals Toolkit: Internal Messaging Copy </w:t>
      </w:r>
    </w:p>
    <w:p w14:paraId="26095AB7" w14:textId="77777777" w:rsidR="00BD7898" w:rsidRDefault="00BD7898" w:rsidP="00BD7898"/>
    <w:p w14:paraId="4FE9E031" w14:textId="77777777" w:rsidR="00BD7898" w:rsidRDefault="00BD7898" w:rsidP="00BD7898">
      <w:pPr>
        <w:pStyle w:val="Heading2"/>
      </w:pPr>
      <w:r>
        <w:t>Option 2: For those ready/eligible to withdraw</w:t>
      </w:r>
    </w:p>
    <w:p w14:paraId="5A4A9D1A" w14:textId="77777777" w:rsidR="00BD7898" w:rsidRPr="00DD4B9F" w:rsidRDefault="00BD7898" w:rsidP="00BD7898">
      <w:pPr>
        <w:rPr>
          <w:b/>
          <w:bCs/>
        </w:rPr>
      </w:pPr>
      <w:r w:rsidRPr="00DD4B9F">
        <w:rPr>
          <w:b/>
          <w:bCs/>
        </w:rPr>
        <w:t>Turn your savings into the retirement income you’ve been working for</w:t>
      </w:r>
    </w:p>
    <w:p w14:paraId="7B79DE76" w14:textId="77777777" w:rsidR="00BD7898" w:rsidRPr="00A46D32" w:rsidRDefault="00BD7898" w:rsidP="00BD7898">
      <w:r w:rsidRPr="00A46D32">
        <w:t>You’ve spent years saving for this moment—retirement. Now it’s time to make your workplace</w:t>
      </w:r>
      <w:r>
        <w:t xml:space="preserve"> </w:t>
      </w:r>
      <w:r w:rsidRPr="00A46D32">
        <w:t xml:space="preserve">savings work for you. The Fidelity </w:t>
      </w:r>
      <w:hyperlink r:id="rId5" w:history="1">
        <w:r w:rsidRPr="00A46D32">
          <w:rPr>
            <w:rStyle w:val="Hyperlink"/>
          </w:rPr>
          <w:t>Automatic Withdrawals tool</w:t>
        </w:r>
      </w:hyperlink>
      <w:r w:rsidRPr="00A46D32">
        <w:t xml:space="preserve"> models your withdrawal options,</w:t>
      </w:r>
      <w:r>
        <w:t xml:space="preserve"> </w:t>
      </w:r>
      <w:r w:rsidRPr="00A46D32">
        <w:t>helping you create a custom withdrawal plan and turn savings into retirement income.</w:t>
      </w:r>
    </w:p>
    <w:p w14:paraId="0D5843EA" w14:textId="77777777" w:rsidR="00BD7898" w:rsidRPr="00A46D32" w:rsidRDefault="00BD7898" w:rsidP="00BD7898">
      <w:r w:rsidRPr="00A46D32">
        <w:t>Use the tool to explore:</w:t>
      </w:r>
    </w:p>
    <w:p w14:paraId="0E3222FB" w14:textId="77777777" w:rsidR="00BD7898" w:rsidRPr="00A46D32" w:rsidRDefault="00BD7898" w:rsidP="00BD7898">
      <w:pPr>
        <w:pStyle w:val="ListParagraph"/>
        <w:numPr>
          <w:ilvl w:val="0"/>
          <w:numId w:val="2"/>
        </w:numPr>
      </w:pPr>
      <w:r w:rsidRPr="00A46D32">
        <w:t>Your potential monthly income</w:t>
      </w:r>
    </w:p>
    <w:p w14:paraId="3474A8CA" w14:textId="77777777" w:rsidR="00BD7898" w:rsidRPr="00A46D32" w:rsidRDefault="00BD7898" w:rsidP="00BD7898">
      <w:pPr>
        <w:pStyle w:val="ListParagraph"/>
        <w:numPr>
          <w:ilvl w:val="0"/>
          <w:numId w:val="2"/>
        </w:numPr>
      </w:pPr>
      <w:r w:rsidRPr="00A46D32">
        <w:t>How long your savings could sustain your lifestyle</w:t>
      </w:r>
    </w:p>
    <w:p w14:paraId="7A7C0A4C" w14:textId="77777777" w:rsidR="00BD7898" w:rsidRPr="00A46D32" w:rsidRDefault="00BD7898" w:rsidP="00BD7898">
      <w:pPr>
        <w:pStyle w:val="ListParagraph"/>
        <w:numPr>
          <w:ilvl w:val="0"/>
          <w:numId w:val="2"/>
        </w:numPr>
      </w:pPr>
      <w:r>
        <w:t xml:space="preserve">What the estimated remaining balance might be </w:t>
      </w:r>
    </w:p>
    <w:p w14:paraId="03A3F94D" w14:textId="77777777" w:rsidR="00BD7898" w:rsidRDefault="00BD7898" w:rsidP="00BD7898">
      <w:r w:rsidRPr="00A46D32">
        <w:t xml:space="preserve">When you’re ready to retire, you can schedule recurring </w:t>
      </w:r>
      <w:r>
        <w:t>withdrawal</w:t>
      </w:r>
      <w:r w:rsidRPr="00A46D32">
        <w:t>s directly to your bank</w:t>
      </w:r>
      <w:r>
        <w:t xml:space="preserve"> </w:t>
      </w:r>
      <w:r w:rsidRPr="00A46D32">
        <w:t>account—creating a predictable income flow that supports your retirement goals</w:t>
      </w:r>
      <w:r>
        <w:t>.</w:t>
      </w:r>
    </w:p>
    <w:p w14:paraId="7946B9CF" w14:textId="77777777" w:rsidR="007F757D" w:rsidRPr="007F757D" w:rsidRDefault="007F757D" w:rsidP="007F757D"/>
    <w:p w14:paraId="2953444B" w14:textId="7092D352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b/>
          <w:bCs/>
          <w:sz w:val="20"/>
          <w:szCs w:val="20"/>
        </w:rPr>
        <w:t xml:space="preserve">Investing involves risk, including risk of loss. </w:t>
      </w:r>
    </w:p>
    <w:p w14:paraId="7A6FC217" w14:textId="39EBD8BE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sz w:val="20"/>
          <w:szCs w:val="20"/>
        </w:rPr>
        <w:t xml:space="preserve">Fidelity Brokerage Services LLC, Member NYSE, </w:t>
      </w:r>
      <w:hyperlink r:id="rId6" w:history="1">
        <w:r w:rsidRPr="007F757D">
          <w:rPr>
            <w:rStyle w:val="Hyperlink"/>
            <w:sz w:val="20"/>
            <w:szCs w:val="20"/>
          </w:rPr>
          <w:t>SIPC</w:t>
        </w:r>
      </w:hyperlink>
      <w:r w:rsidRPr="007F757D">
        <w:rPr>
          <w:sz w:val="20"/>
          <w:szCs w:val="20"/>
        </w:rPr>
        <w:t xml:space="preserve">, 900 Salem Street, Smithfield, RI 02917 </w:t>
      </w:r>
    </w:p>
    <w:p w14:paraId="42F29C6B" w14:textId="5116184C" w:rsidR="007F757D" w:rsidRPr="007F757D" w:rsidRDefault="007F757D" w:rsidP="00CF467C">
      <w:pPr>
        <w:spacing w:after="0"/>
        <w:rPr>
          <w:sz w:val="20"/>
          <w:szCs w:val="20"/>
        </w:rPr>
      </w:pPr>
      <w:r w:rsidRPr="007F757D">
        <w:rPr>
          <w:sz w:val="20"/>
          <w:szCs w:val="20"/>
        </w:rPr>
        <w:t>© 202</w:t>
      </w:r>
      <w:r w:rsidR="00CF467C">
        <w:rPr>
          <w:sz w:val="20"/>
          <w:szCs w:val="20"/>
        </w:rPr>
        <w:t xml:space="preserve">6 </w:t>
      </w:r>
      <w:r w:rsidRPr="007F757D">
        <w:rPr>
          <w:sz w:val="20"/>
          <w:szCs w:val="20"/>
        </w:rPr>
        <w:t xml:space="preserve">FMR LLC. All rights reserved. </w:t>
      </w:r>
    </w:p>
    <w:p w14:paraId="41749A0C" w14:textId="77777777" w:rsidR="00323297" w:rsidRPr="00323297" w:rsidRDefault="00323297" w:rsidP="00323297">
      <w:pPr>
        <w:spacing w:after="0"/>
        <w:rPr>
          <w:sz w:val="20"/>
          <w:szCs w:val="20"/>
        </w:rPr>
      </w:pPr>
      <w:r w:rsidRPr="00323297">
        <w:rPr>
          <w:sz w:val="20"/>
          <w:szCs w:val="20"/>
        </w:rPr>
        <w:t>1244119.1.0</w:t>
      </w:r>
    </w:p>
    <w:p w14:paraId="3EB6F053" w14:textId="5D5C8559" w:rsidR="00BE638B" w:rsidRPr="00CF467C" w:rsidRDefault="00BE638B" w:rsidP="00323297">
      <w:pPr>
        <w:spacing w:after="0"/>
        <w:rPr>
          <w:sz w:val="20"/>
          <w:szCs w:val="20"/>
        </w:rPr>
      </w:pPr>
    </w:p>
    <w:sectPr w:rsidR="00BE638B" w:rsidRPr="00CF4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Fidelity Slab Light">
    <w:panose1 w:val="02060404050501040104"/>
    <w:charset w:val="00"/>
    <w:family w:val="roman"/>
    <w:pitch w:val="variable"/>
    <w:sig w:usb0="800000AF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A6FF9"/>
    <w:multiLevelType w:val="multilevel"/>
    <w:tmpl w:val="D9621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FA2F38"/>
    <w:multiLevelType w:val="hybridMultilevel"/>
    <w:tmpl w:val="4A620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817C9"/>
    <w:multiLevelType w:val="hybridMultilevel"/>
    <w:tmpl w:val="C4D0F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15761"/>
    <w:multiLevelType w:val="multilevel"/>
    <w:tmpl w:val="EA240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22273145">
    <w:abstractNumId w:val="2"/>
  </w:num>
  <w:num w:numId="2" w16cid:durableId="1738896608">
    <w:abstractNumId w:val="1"/>
  </w:num>
  <w:num w:numId="3" w16cid:durableId="2010519126">
    <w:abstractNumId w:val="3"/>
  </w:num>
  <w:num w:numId="4" w16cid:durableId="630014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47D"/>
    <w:rsid w:val="000970EF"/>
    <w:rsid w:val="000A46B9"/>
    <w:rsid w:val="00123EFF"/>
    <w:rsid w:val="00250612"/>
    <w:rsid w:val="00323297"/>
    <w:rsid w:val="00446C50"/>
    <w:rsid w:val="0047402E"/>
    <w:rsid w:val="00511907"/>
    <w:rsid w:val="005E79E6"/>
    <w:rsid w:val="007F757D"/>
    <w:rsid w:val="00830D82"/>
    <w:rsid w:val="008476DE"/>
    <w:rsid w:val="009B6F98"/>
    <w:rsid w:val="00A46D32"/>
    <w:rsid w:val="00AE533A"/>
    <w:rsid w:val="00AF532D"/>
    <w:rsid w:val="00BB76B9"/>
    <w:rsid w:val="00BD7898"/>
    <w:rsid w:val="00BE638B"/>
    <w:rsid w:val="00C6088F"/>
    <w:rsid w:val="00CB447D"/>
    <w:rsid w:val="00CC3036"/>
    <w:rsid w:val="00CF1B23"/>
    <w:rsid w:val="00CF467C"/>
    <w:rsid w:val="00D440F4"/>
    <w:rsid w:val="00DD4B9F"/>
    <w:rsid w:val="00DF6325"/>
    <w:rsid w:val="00F552A5"/>
    <w:rsid w:val="00FF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22120C"/>
  <w15:chartTrackingRefBased/>
  <w15:docId w15:val="{A28D5B48-C0E4-4D31-A593-8FB313299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44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44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447D"/>
    <w:pPr>
      <w:keepNext/>
      <w:keepLines/>
      <w:spacing w:before="160" w:after="80"/>
      <w:outlineLvl w:val="2"/>
    </w:pPr>
    <w:rPr>
      <w:rFonts w:eastAsiaTheme="majorEastAsia" w:cstheme="majorBidi"/>
      <w:color w:val="28641D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44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8641D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447D"/>
    <w:pPr>
      <w:keepNext/>
      <w:keepLines/>
      <w:spacing w:before="80" w:after="40"/>
      <w:outlineLvl w:val="4"/>
    </w:pPr>
    <w:rPr>
      <w:rFonts w:eastAsiaTheme="majorEastAsia" w:cstheme="majorBidi"/>
      <w:color w:val="28641D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44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44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44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44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47D"/>
    <w:rPr>
      <w:rFonts w:asciiTheme="majorHAnsi" w:eastAsiaTheme="majorEastAsia" w:hAnsiTheme="majorHAnsi" w:cstheme="majorBidi"/>
      <w:color w:val="28641D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B447D"/>
    <w:rPr>
      <w:rFonts w:asciiTheme="majorHAnsi" w:eastAsiaTheme="majorEastAsia" w:hAnsiTheme="majorHAnsi" w:cstheme="majorBidi"/>
      <w:color w:val="28641D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447D"/>
    <w:rPr>
      <w:rFonts w:eastAsiaTheme="majorEastAsia" w:cstheme="majorBidi"/>
      <w:color w:val="28641D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447D"/>
    <w:rPr>
      <w:rFonts w:eastAsiaTheme="majorEastAsia" w:cstheme="majorBidi"/>
      <w:i/>
      <w:iCs/>
      <w:color w:val="28641D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447D"/>
    <w:rPr>
      <w:rFonts w:eastAsiaTheme="majorEastAsia" w:cstheme="majorBidi"/>
      <w:color w:val="28641D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44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44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44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44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44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44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44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44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44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44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44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447D"/>
    <w:rPr>
      <w:i/>
      <w:iCs/>
      <w:color w:val="28641D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447D"/>
    <w:pPr>
      <w:pBdr>
        <w:top w:val="single" w:sz="4" w:space="10" w:color="28641D" w:themeColor="accent1" w:themeShade="BF"/>
        <w:bottom w:val="single" w:sz="4" w:space="10" w:color="28641D" w:themeColor="accent1" w:themeShade="BF"/>
      </w:pBdr>
      <w:spacing w:before="360" w:after="360"/>
      <w:ind w:left="864" w:right="864"/>
      <w:jc w:val="center"/>
    </w:pPr>
    <w:rPr>
      <w:i/>
      <w:iCs/>
      <w:color w:val="28641D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447D"/>
    <w:rPr>
      <w:i/>
      <w:iCs/>
      <w:color w:val="28641D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447D"/>
    <w:rPr>
      <w:b/>
      <w:bCs/>
      <w:smallCaps/>
      <w:color w:val="28641D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C3036"/>
    <w:rPr>
      <w:color w:val="36872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30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ipc.org/" TargetMode="External"/><Relationship Id="rId5" Type="http://schemas.openxmlformats.org/officeDocument/2006/relationships/hyperlink" Target="https://nb.fidelity.com/public/nb/default/home?option=autowithdrawal&amp;ccsource=dw_nb_plclient_awdelig_q12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Fidelity">
      <a:dk1>
        <a:srgbClr val="000000"/>
      </a:dk1>
      <a:lt1>
        <a:srgbClr val="FFFFFF"/>
      </a:lt1>
      <a:dk2>
        <a:srgbClr val="403F3E"/>
      </a:dk2>
      <a:lt2>
        <a:srgbClr val="F7F4E4"/>
      </a:lt2>
      <a:accent1>
        <a:srgbClr val="368727"/>
      </a:accent1>
      <a:accent2>
        <a:srgbClr val="044014"/>
      </a:accent2>
      <a:accent3>
        <a:srgbClr val="6AD539"/>
      </a:accent3>
      <a:accent4>
        <a:srgbClr val="1DE4CA"/>
      </a:accent4>
      <a:accent5>
        <a:srgbClr val="3880F3"/>
      </a:accent5>
      <a:accent6>
        <a:srgbClr val="04547C"/>
      </a:accent6>
      <a:hlink>
        <a:srgbClr val="368727"/>
      </a:hlink>
      <a:folHlink>
        <a:srgbClr val="368727"/>
      </a:folHlink>
    </a:clrScheme>
    <a:fontScheme name="Fidelity">
      <a:majorFont>
        <a:latin typeface="Fidelity Slab Light"/>
        <a:ea typeface=""/>
        <a:cs typeface=""/>
      </a:majorFont>
      <a:minorFont>
        <a:latin typeface="Fidelity Sans 2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952</Characters>
  <Application>Microsoft Office Word</Application>
  <DocSecurity>0</DocSecurity>
  <Lines>7</Lines>
  <Paragraphs>2</Paragraphs>
  <ScaleCrop>false</ScaleCrop>
  <Company>Fidelity Investments</Company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4</cp:revision>
  <dcterms:created xsi:type="dcterms:W3CDTF">2026-02-23T15:39:00Z</dcterms:created>
  <dcterms:modified xsi:type="dcterms:W3CDTF">2026-02-23T15:40:00Z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2026-01-05T19:09:58Z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55534114-ce55-4e73-a5f5-e833efb54d36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